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3B997" w14:textId="77777777" w:rsidR="008660EE" w:rsidRPr="005E15F9" w:rsidRDefault="002504E4" w:rsidP="00AF3042">
      <w:pPr>
        <w:spacing w:after="0" w:line="360" w:lineRule="auto"/>
        <w:ind w:left="3600" w:hanging="3600"/>
        <w:jc w:val="center"/>
        <w:rPr>
          <w:rFonts w:ascii="Times New Roman" w:hAnsi="Times New Roman" w:cs="Times New Roman"/>
          <w:sz w:val="24"/>
          <w:szCs w:val="24"/>
          <w:lang w:val="fr-CA"/>
        </w:rPr>
      </w:pPr>
      <w:r w:rsidRPr="005E15F9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CADRE DE RÉFÉRENCE</w:t>
      </w:r>
    </w:p>
    <w:p w14:paraId="6273B998" w14:textId="77777777" w:rsidR="00675917" w:rsidRPr="005E15F9" w:rsidRDefault="00675917" w:rsidP="00675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5E15F9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INTENT</w:t>
      </w:r>
      <w:r w:rsidR="002504E4" w:rsidRPr="005E15F9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ION</w:t>
      </w:r>
    </w:p>
    <w:p w14:paraId="6273B999" w14:textId="77777777" w:rsidR="00792000" w:rsidRPr="005E15F9" w:rsidRDefault="00877D44" w:rsidP="0067591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5E15F9">
        <w:rPr>
          <w:rFonts w:ascii="Times New Roman" w:eastAsia="Times New Roman" w:hAnsi="Times New Roman" w:cs="Times New Roman"/>
          <w:sz w:val="24"/>
          <w:szCs w:val="24"/>
          <w:lang w:val="fr-CA"/>
        </w:rPr>
        <w:t>&lt;&lt;Intent</w:t>
      </w:r>
      <w:r w:rsidR="002504E4" w:rsidRPr="005E15F9">
        <w:rPr>
          <w:rFonts w:ascii="Times New Roman" w:eastAsia="Times New Roman" w:hAnsi="Times New Roman" w:cs="Times New Roman"/>
          <w:sz w:val="24"/>
          <w:szCs w:val="24"/>
          <w:lang w:val="fr-CA"/>
        </w:rPr>
        <w:t>ion du</w:t>
      </w:r>
      <w:r w:rsidRPr="005E15F9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Centre&gt;&gt;</w:t>
      </w:r>
    </w:p>
    <w:p w14:paraId="6273B99A" w14:textId="77777777" w:rsidR="00AF3042" w:rsidRPr="005E15F9" w:rsidRDefault="00AF3042" w:rsidP="0067591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273B99B" w14:textId="77777777" w:rsidR="00792000" w:rsidRPr="005E15F9" w:rsidRDefault="002504E4" w:rsidP="007920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5E15F9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MANDAT</w:t>
      </w:r>
    </w:p>
    <w:p w14:paraId="6273B99C" w14:textId="77777777" w:rsidR="009245A2" w:rsidRPr="005E15F9" w:rsidRDefault="005E15F9" w:rsidP="00B41560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5E15F9">
        <w:rPr>
          <w:rFonts w:ascii="Times New Roman" w:hAnsi="Times New Roman" w:cs="Times New Roman"/>
          <w:sz w:val="24"/>
          <w:szCs w:val="24"/>
          <w:lang w:val="fr-CA"/>
        </w:rPr>
        <w:t>On s’attend à ce que l</w:t>
      </w:r>
      <w:r w:rsidR="002504E4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e conseil </w:t>
      </w:r>
      <w:r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consultatif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donne des conseils stratégiques sur la mise en œuvre, la gestion et l’avenir du </w:t>
      </w:r>
      <w:r w:rsidR="00F917A1" w:rsidRPr="005E15F9">
        <w:rPr>
          <w:rFonts w:ascii="Times New Roman" w:hAnsi="Times New Roman" w:cs="Times New Roman"/>
          <w:sz w:val="24"/>
          <w:szCs w:val="24"/>
          <w:lang w:val="fr-CA"/>
        </w:rPr>
        <w:t>Centre.</w:t>
      </w:r>
    </w:p>
    <w:p w14:paraId="6273B99D" w14:textId="77777777" w:rsidR="00C564C5" w:rsidRPr="005E15F9" w:rsidRDefault="005E15F9" w:rsidP="009245A2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On s’attend à ce que le conseil consultatif donne son avis sur l’orientation des services offerts par le Centre, dont la gamme de services, les sources de revenus</w:t>
      </w:r>
      <w:r w:rsidR="009245A2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les services liés à la recherche appliquée et au développement</w:t>
      </w:r>
      <w:r w:rsidR="009245A2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les services techniques et les besoins en matière d’essais</w:t>
      </w:r>
      <w:r w:rsidR="00C564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9E" w14:textId="77777777" w:rsidR="009245A2" w:rsidRPr="005E15F9" w:rsidRDefault="00822DDF" w:rsidP="009245A2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On s’attend à ce que le conseil consultatif offre des conseils stratégiques sur les principaux thèmes de recherche et les objectifs de programme à atteindre pour répondre aux besoins </w:t>
      </w:r>
      <w:r w:rsidR="00484627">
        <w:rPr>
          <w:rFonts w:ascii="Times New Roman" w:hAnsi="Times New Roman" w:cs="Times New Roman"/>
          <w:sz w:val="24"/>
          <w:szCs w:val="24"/>
          <w:lang w:val="fr-CA"/>
        </w:rPr>
        <w:t>des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secteurs de l’industrie représentés</w:t>
      </w:r>
      <w:r w:rsidR="009245A2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9F" w14:textId="77777777" w:rsidR="00C564C5" w:rsidRPr="005E15F9" w:rsidRDefault="00822DDF" w:rsidP="009245A2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 conseil consultatif sera invité à donner ses commentaires sur les stratégies de marketing et de financement liées aux secteurs de l’industrie représentés</w:t>
      </w:r>
      <w:r w:rsidR="00C564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0" w14:textId="77777777" w:rsidR="00F917A1" w:rsidRPr="005E15F9" w:rsidRDefault="00822DDF" w:rsidP="00F917A1">
      <w:pPr>
        <w:widowControl w:val="0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Le conseil cons</w:t>
      </w:r>
      <w:r w:rsidR="00731276">
        <w:rPr>
          <w:rFonts w:ascii="Times New Roman" w:hAnsi="Times New Roman" w:cs="Times New Roman"/>
          <w:sz w:val="24"/>
          <w:szCs w:val="24"/>
          <w:lang w:val="fr-CA"/>
        </w:rPr>
        <w:t>ultatif doit passer en revue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l’état annuel des revenus et des dépenses de même que les changements stratégiques ou importants aux sources de financement</w:t>
      </w:r>
      <w:r w:rsidR="00F917A1" w:rsidRPr="005E15F9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6273B9A1" w14:textId="0F4FEA0E" w:rsidR="00792000" w:rsidRPr="005E15F9" w:rsidRDefault="00822DDF" w:rsidP="00B41560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Le conseil consultatif recommande et </w:t>
      </w:r>
      <w:r w:rsidR="00484627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met en place des façons d’étendre et de renfor</w:t>
      </w:r>
      <w:r w:rsidR="004E643E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cer des ententes de partenariat</w:t>
      </w:r>
      <w:r w:rsidR="00484627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ou de collaboration pour la prestation de services de recherche et de formation au sein des secteurs de l’industrie représentés</w:t>
      </w:r>
      <w:r w:rsidR="00792000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2" w14:textId="77777777" w:rsidR="00C564C5" w:rsidRPr="005E15F9" w:rsidRDefault="00C564C5" w:rsidP="00AE74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14:paraId="6273B9A3" w14:textId="77777777" w:rsidR="00AE74A1" w:rsidRPr="005E15F9" w:rsidRDefault="00484627" w:rsidP="008660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ADHÉSION</w:t>
      </w:r>
      <w:r w:rsidR="00AE74A1" w:rsidRPr="005E15F9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6273B9A4" w14:textId="57EE20E3" w:rsidR="00562D0B" w:rsidRPr="005E15F9" w:rsidRDefault="00484627" w:rsidP="008660EE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L’adhésion au conseil consultatif se fait sur une base </w:t>
      </w:r>
      <w:r w:rsidR="004E643E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bénévole.</w:t>
      </w:r>
      <w:bookmarkStart w:id="0" w:name="_GoBack"/>
      <w:bookmarkEnd w:id="0"/>
    </w:p>
    <w:p w14:paraId="6273B9A5" w14:textId="77777777" w:rsidR="00562D0B" w:rsidRPr="005E15F9" w:rsidRDefault="00484627" w:rsidP="008660EE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 conseil consultatif compte de six à dix membres</w:t>
      </w:r>
      <w:r w:rsidR="00CB091D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, dont au moins deux membres du secteur privé</w:t>
      </w:r>
      <w:r w:rsidR="00C564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  <w:r w:rsidR="00562D0B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CB091D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Les membres sont choisis en raison de leur expertise, de leur vaste expérience, de leur réseau et de leur capacité à représenter le secteur pertinent de l’industrie</w:t>
      </w:r>
      <w:r w:rsidR="00562D0B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6" w14:textId="77777777" w:rsidR="00C564C5" w:rsidRPr="005E15F9" w:rsidRDefault="00CB091D" w:rsidP="0097012F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Tout changement à la composition du conseil consultatif doit être approuvé par le Centre et le CRSNG</w:t>
      </w:r>
      <w:r w:rsidR="00C564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  <w:r w:rsidR="0097012F" w:rsidRPr="005E15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CA" w:eastAsia="x-none" w:bidi="x-none"/>
        </w:rPr>
        <w:t xml:space="preserve"> </w:t>
      </w:r>
    </w:p>
    <w:p w14:paraId="6273B9A7" w14:textId="77777777" w:rsidR="00AE74A1" w:rsidRPr="005E15F9" w:rsidRDefault="00FA18D1" w:rsidP="00562D0B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 directeur de l’école et le gestionnaire du CAT créent le conseil consultatif ensemble et invitent les membres à y siéger</w:t>
      </w:r>
      <w:r w:rsidR="00AE74A1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8" w14:textId="77777777" w:rsidR="00F34CC5" w:rsidRPr="005E15F9" w:rsidRDefault="00FA18D1" w:rsidP="00562D0B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Une fois le conseil consultatif créé, ce dernier peut inviter d’autres membres en consultation avec le directeur de l’école et le gestionnaire du CAT</w:t>
      </w:r>
      <w:r w:rsidR="00F34C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9" w14:textId="77777777" w:rsidR="00C564C5" w:rsidRPr="005E15F9" w:rsidRDefault="00FA18D1" w:rsidP="00562D0B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Les membres du conseil sont nommés pour la période de financement de cinq ans</w:t>
      </w:r>
      <w:r w:rsidR="00AE74A1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. </w:t>
      </w:r>
    </w:p>
    <w:p w14:paraId="6273B9AA" w14:textId="67E73FF6" w:rsidR="00AE74A1" w:rsidRPr="005E15F9" w:rsidRDefault="00FA18D1" w:rsidP="00B41560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 directeur et le gestionnaire du CAT peu</w:t>
      </w:r>
      <w:r w:rsidR="004E643E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t </w:t>
      </w:r>
      <w:r w:rsidR="00680ECB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reconduire le mandat des membres</w:t>
      </w:r>
      <w:r w:rsidR="00AE74A1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. </w:t>
      </w:r>
    </w:p>
    <w:p w14:paraId="6273B9AB" w14:textId="77777777" w:rsidR="00F34CC5" w:rsidRPr="005E15F9" w:rsidRDefault="00362F77" w:rsidP="00B41560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 directeur, le gestionnaire</w:t>
      </w:r>
      <w:r w:rsidR="00680ECB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du CAT, le coordonnateur du développement des affaires et l’administrateur des services sont nommés d’office au conseil consultatif</w:t>
      </w:r>
      <w:r w:rsidR="00F34C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. </w:t>
      </w:r>
    </w:p>
    <w:p w14:paraId="6273B9AC" w14:textId="77777777" w:rsidR="00AE74A1" w:rsidRPr="005E15F9" w:rsidRDefault="00362F77" w:rsidP="00B41560">
      <w:pPr>
        <w:pStyle w:val="Paragraphedeliste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Les titulaires de chaire académique et d’autres employés compétents peuvent participer à titre de membres du conseil consultatif</w:t>
      </w:r>
      <w:r w:rsidR="00F34CC5" w:rsidRPr="005E15F9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.</w:t>
      </w:r>
    </w:p>
    <w:p w14:paraId="6273B9AD" w14:textId="77777777" w:rsidR="008660EE" w:rsidRPr="005E15F9" w:rsidRDefault="008660EE" w:rsidP="0056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6273B9AE" w14:textId="77777777" w:rsidR="00B41560" w:rsidRPr="005E15F9" w:rsidRDefault="00362F77" w:rsidP="008526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lastRenderedPageBreak/>
        <w:t>RÉUNIONS</w:t>
      </w:r>
      <w:r w:rsidR="00B41560"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6273B9AF" w14:textId="77777777" w:rsidR="00B41560" w:rsidRPr="005E15F9" w:rsidRDefault="00362F77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Le conseil consultatif se réunit trimestriellement, ce qui comprend deux réunions en personne et deux conférences téléphoniques ou webinaires.</w:t>
      </w:r>
    </w:p>
    <w:p w14:paraId="6273B9B0" w14:textId="77777777" w:rsidR="00562D0B" w:rsidRPr="005E15F9" w:rsidRDefault="00362F77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Les coûts des réunions, y compris les déplacements, l’hébergement et les repas,</w:t>
      </w:r>
      <w:r w:rsidR="00562D0B" w:rsidRPr="005E15F9">
        <w:rPr>
          <w:lang w:val="fr-CA"/>
        </w:rPr>
        <w:t xml:space="preserve"> </w:t>
      </w:r>
      <w:r>
        <w:rPr>
          <w:lang w:val="fr-CA"/>
        </w:rPr>
        <w:t>sont assumés par le</w:t>
      </w:r>
      <w:r w:rsidR="00562D0B" w:rsidRPr="005E15F9">
        <w:rPr>
          <w:lang w:val="fr-CA"/>
        </w:rPr>
        <w:t xml:space="preserve"> Centre</w:t>
      </w:r>
      <w:r>
        <w:rPr>
          <w:lang w:val="fr-CA"/>
        </w:rPr>
        <w:t>.</w:t>
      </w:r>
    </w:p>
    <w:p w14:paraId="6273B9B1" w14:textId="77777777" w:rsidR="00AD04AD" w:rsidRPr="005E15F9" w:rsidRDefault="00731276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Une fois par année, le conseil consultatif doit passer en revue l’état annuel des revenus et des dépenses de même que les changements stratégiques ou importants aux sources de financement</w:t>
      </w:r>
      <w:r w:rsidRPr="005E15F9">
        <w:rPr>
          <w:lang w:val="fr-CA"/>
        </w:rPr>
        <w:t xml:space="preserve"> </w:t>
      </w:r>
      <w:r>
        <w:rPr>
          <w:lang w:val="fr-CA"/>
        </w:rPr>
        <w:t>et/ou aux services offerts et formuler des recommandations au CRSNG pour fin d’approbation</w:t>
      </w:r>
      <w:r w:rsidR="00B73191" w:rsidRPr="005E15F9">
        <w:rPr>
          <w:lang w:val="fr-CA"/>
        </w:rPr>
        <w:t>*</w:t>
      </w:r>
      <w:r w:rsidR="00AD04AD" w:rsidRPr="005E15F9">
        <w:rPr>
          <w:lang w:val="fr-CA"/>
        </w:rPr>
        <w:t>.</w:t>
      </w:r>
    </w:p>
    <w:p w14:paraId="6273B9B2" w14:textId="77777777" w:rsidR="00B41560" w:rsidRPr="005E15F9" w:rsidRDefault="00731276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Des sous-comités peuvent être créés et se réunir sur une base plus officieuse pendant l’année. Ces réunions devraient mener à la rédaction de rapports soumis à des fins de discussion aux réunions trimestrielles officielles</w:t>
      </w:r>
      <w:r w:rsidR="004252E5" w:rsidRPr="005E15F9">
        <w:rPr>
          <w:lang w:val="fr-CA"/>
        </w:rPr>
        <w:t>.</w:t>
      </w:r>
    </w:p>
    <w:p w14:paraId="6273B9B3" w14:textId="77777777" w:rsidR="00B41560" w:rsidRPr="005E15F9" w:rsidRDefault="00731276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Le Centre offre les services d’un adjoint administratif chargé du compte rendu des délibérations de même que les services de soutien nécessaires à la préparation et à la distribution des ordres du jour et des procès-verbaux</w:t>
      </w:r>
      <w:r w:rsidR="00B41560" w:rsidRPr="005E15F9">
        <w:rPr>
          <w:lang w:val="fr-CA"/>
        </w:rPr>
        <w:t>.</w:t>
      </w:r>
    </w:p>
    <w:p w14:paraId="6273B9B4" w14:textId="77777777" w:rsidR="00B41560" w:rsidRPr="005E15F9" w:rsidRDefault="00731276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Les membres du conseil reçoivent l’information pertinente avant la réunion</w:t>
      </w:r>
      <w:r w:rsidR="00B41560" w:rsidRPr="005E15F9">
        <w:rPr>
          <w:lang w:val="fr-CA"/>
        </w:rPr>
        <w:t>.</w:t>
      </w:r>
    </w:p>
    <w:p w14:paraId="6273B9B5" w14:textId="77777777" w:rsidR="00B41560" w:rsidRPr="005E15F9" w:rsidRDefault="00731276" w:rsidP="00562D0B">
      <w:pPr>
        <w:pStyle w:val="Default"/>
        <w:numPr>
          <w:ilvl w:val="0"/>
          <w:numId w:val="6"/>
        </w:numPr>
        <w:tabs>
          <w:tab w:val="left" w:pos="360"/>
        </w:tabs>
        <w:rPr>
          <w:lang w:val="fr-CA"/>
        </w:rPr>
      </w:pPr>
      <w:r>
        <w:rPr>
          <w:lang w:val="fr-CA"/>
        </w:rPr>
        <w:t>Le procès-verbal et les mesures de suivi convenues durant la réunion sont distribués en temps opportun</w:t>
      </w:r>
      <w:r w:rsidR="00B41560" w:rsidRPr="005E15F9">
        <w:rPr>
          <w:lang w:val="fr-CA"/>
        </w:rPr>
        <w:t>.</w:t>
      </w:r>
    </w:p>
    <w:p w14:paraId="6273B9B6" w14:textId="77777777" w:rsidR="008660EE" w:rsidRPr="005E15F9" w:rsidRDefault="008660EE" w:rsidP="0056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6273B9B7" w14:textId="77777777" w:rsidR="008660EE" w:rsidRPr="005E15F9" w:rsidRDefault="00731276" w:rsidP="008526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RECOMMA</w:t>
      </w:r>
      <w:r w:rsidR="004252E5"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NDATIONS </w:t>
      </w:r>
    </w:p>
    <w:p w14:paraId="6273B9B8" w14:textId="77777777" w:rsidR="004252E5" w:rsidRPr="005E15F9" w:rsidRDefault="00731276" w:rsidP="00562D0B">
      <w:pPr>
        <w:pStyle w:val="Default"/>
        <w:numPr>
          <w:ilvl w:val="0"/>
          <w:numId w:val="8"/>
        </w:numPr>
        <w:tabs>
          <w:tab w:val="left" w:pos="360"/>
        </w:tabs>
        <w:rPr>
          <w:lang w:val="fr-CA"/>
        </w:rPr>
      </w:pPr>
      <w:r>
        <w:rPr>
          <w:lang w:val="fr-CA"/>
        </w:rPr>
        <w:t>Une recommandation se fait sous forme de motion officielle</w:t>
      </w:r>
      <w:r w:rsidR="004252E5" w:rsidRPr="005E15F9">
        <w:rPr>
          <w:lang w:val="fr-CA"/>
        </w:rPr>
        <w:t>.</w:t>
      </w:r>
    </w:p>
    <w:p w14:paraId="6273B9B9" w14:textId="77777777" w:rsidR="004252E5" w:rsidRPr="005E15F9" w:rsidRDefault="00731276" w:rsidP="00562D0B">
      <w:pPr>
        <w:pStyle w:val="Default"/>
        <w:numPr>
          <w:ilvl w:val="0"/>
          <w:numId w:val="8"/>
        </w:numPr>
        <w:tabs>
          <w:tab w:val="left" w:pos="360"/>
        </w:tabs>
        <w:rPr>
          <w:lang w:val="fr-CA"/>
        </w:rPr>
      </w:pPr>
      <w:r>
        <w:rPr>
          <w:lang w:val="fr-CA"/>
        </w:rPr>
        <w:t>Le Centre examine toutes les recomma</w:t>
      </w:r>
      <w:r w:rsidR="004252E5" w:rsidRPr="005E15F9">
        <w:rPr>
          <w:lang w:val="fr-CA"/>
        </w:rPr>
        <w:t>ndations</w:t>
      </w:r>
      <w:r w:rsidR="004252E5" w:rsidRPr="005E15F9">
        <w:rPr>
          <w:bCs/>
          <w:lang w:val="fr-CA"/>
        </w:rPr>
        <w:t>.</w:t>
      </w:r>
    </w:p>
    <w:p w14:paraId="6273B9BA" w14:textId="13B867DB" w:rsidR="004252E5" w:rsidRPr="005E15F9" w:rsidRDefault="00731276" w:rsidP="00562D0B">
      <w:pPr>
        <w:pStyle w:val="Default"/>
        <w:numPr>
          <w:ilvl w:val="0"/>
          <w:numId w:val="8"/>
        </w:numPr>
        <w:tabs>
          <w:tab w:val="left" w:pos="360"/>
        </w:tabs>
        <w:rPr>
          <w:lang w:val="fr-CA"/>
        </w:rPr>
      </w:pPr>
      <w:r>
        <w:rPr>
          <w:lang w:val="fr-CA"/>
        </w:rPr>
        <w:t>Le gestionnaire du CAT et/ou le direct</w:t>
      </w:r>
      <w:r w:rsidR="004E643E">
        <w:rPr>
          <w:lang w:val="fr-CA"/>
        </w:rPr>
        <w:t>eur ou personne désignée fournissent</w:t>
      </w:r>
      <w:r>
        <w:rPr>
          <w:lang w:val="fr-CA"/>
        </w:rPr>
        <w:t xml:space="preserve"> au conseil consultatif un rapport annuel de suivi des recommandations</w:t>
      </w:r>
      <w:r w:rsidR="004252E5" w:rsidRPr="005E15F9">
        <w:rPr>
          <w:lang w:val="fr-CA"/>
        </w:rPr>
        <w:t>.</w:t>
      </w:r>
    </w:p>
    <w:p w14:paraId="6273B9BB" w14:textId="77777777" w:rsidR="00AF3042" w:rsidRPr="005E15F9" w:rsidRDefault="00AF3042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6273B9BC" w14:textId="77777777" w:rsidR="00A73089" w:rsidRPr="005E15F9" w:rsidRDefault="00511094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RÔLES ET RESPONSABILITÉS DU CONSEIL CONSULTATIF</w:t>
      </w:r>
      <w:r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A73089"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/ </w:t>
      </w:r>
      <w:r w:rsidR="00AF3042" w:rsidRPr="005E15F9">
        <w:rPr>
          <w:rFonts w:ascii="Times New Roman" w:hAnsi="Times New Roman" w:cs="Times New Roman"/>
          <w:b/>
          <w:sz w:val="24"/>
          <w:szCs w:val="24"/>
          <w:lang w:val="fr-CA"/>
        </w:rPr>
        <w:t>CENTRE</w:t>
      </w:r>
      <w:r w:rsidR="00A73089"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6273B9BD" w14:textId="77777777" w:rsidR="00A73089" w:rsidRPr="005E15F9" w:rsidRDefault="00511094" w:rsidP="00A73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L’i</w:t>
      </w:r>
      <w:r w:rsidR="00A73089" w:rsidRPr="005E15F9">
        <w:rPr>
          <w:rFonts w:ascii="Times New Roman" w:hAnsi="Times New Roman" w:cs="Times New Roman"/>
          <w:b/>
          <w:sz w:val="24"/>
          <w:szCs w:val="24"/>
          <w:lang w:val="fr-CA"/>
        </w:rPr>
        <w:t xml:space="preserve">nstitution 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devrait être responsable de </w:t>
      </w:r>
      <w:r w:rsidR="00A73089" w:rsidRPr="005E15F9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</w:p>
    <w:p w14:paraId="6273B9BE" w14:textId="77777777" w:rsidR="00A73089" w:rsidRPr="005E15F9" w:rsidRDefault="00E22253" w:rsidP="00A730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Promotion</w:t>
      </w:r>
    </w:p>
    <w:p w14:paraId="6273B9BF" w14:textId="77777777" w:rsidR="00A73089" w:rsidRPr="005E15F9" w:rsidRDefault="00E22253" w:rsidP="00A730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Responsabilité juridique pour la gestion financière et imputabilité du programme envers tous les bailleurs de fonds</w:t>
      </w:r>
    </w:p>
    <w:p w14:paraId="6273B9C0" w14:textId="77777777" w:rsidR="00BD2FA3" w:rsidRPr="005E15F9" w:rsidRDefault="00E22253" w:rsidP="00A730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Planification stratégique institutionnelle, y compris la planification stratégique départementale</w:t>
      </w:r>
    </w:p>
    <w:p w14:paraId="6273B9C1" w14:textId="77777777" w:rsidR="00A73089" w:rsidRPr="005E15F9" w:rsidRDefault="00A73089" w:rsidP="00A7308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273B9C2" w14:textId="77777777" w:rsidR="00C86D3E" w:rsidRPr="005E15F9" w:rsidRDefault="00E22253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E22253">
        <w:rPr>
          <w:rFonts w:ascii="Times New Roman" w:hAnsi="Times New Roman" w:cs="Times New Roman"/>
          <w:sz w:val="24"/>
          <w:szCs w:val="24"/>
          <w:lang w:val="fr-CA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conseil consultatif</w:t>
      </w:r>
      <w:r w:rsidR="00C86D3E" w:rsidRPr="005E15F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devrait être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>responsable</w:t>
      </w:r>
      <w:r w:rsidR="00C86D3E" w:rsidRPr="005E15F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6273B9C3" w14:textId="77777777" w:rsidR="00C86D3E" w:rsidRPr="005E15F9" w:rsidRDefault="00E22253" w:rsidP="00C86D3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Surveillance organisationnelle liée au financement des centres d’accès à la technologie par le CRSNG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CA"/>
        </w:rPr>
        <w:t>rendement financier et rendement de programme globaux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6273B9C4" w14:textId="77777777" w:rsidR="00C86D3E" w:rsidRPr="005E15F9" w:rsidRDefault="00E22253" w:rsidP="00C86D3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Planification stratégique propre au centre établissant un lien avec l’orientation de l’école/institution et du département, y compris les priorités pluriannuelles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CA"/>
        </w:rPr>
        <w:t>les liens avec l’industrie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CA"/>
        </w:rPr>
        <w:t>enjeux, obstacles, possibilités et attentes en matière de services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6273B9C5" w14:textId="77777777" w:rsidR="00C86D3E" w:rsidRPr="005E15F9" w:rsidRDefault="00E22253" w:rsidP="000E662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Soutien du centre au sein de l’industrie à titre d’organisme incontournable pour la R et D appliqués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0E6623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la commercialisation et le soutien à la formation</w:t>
      </w:r>
    </w:p>
    <w:p w14:paraId="6273B9C6" w14:textId="77777777" w:rsidR="00A73089" w:rsidRPr="005E15F9" w:rsidRDefault="00A73089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6273B9C7" w14:textId="77777777" w:rsidR="00C86D3E" w:rsidRPr="005E15F9" w:rsidRDefault="00E22253" w:rsidP="00C86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E22253">
        <w:rPr>
          <w:rFonts w:ascii="Times New Roman" w:hAnsi="Times New Roman" w:cs="Times New Roman"/>
          <w:sz w:val="24"/>
          <w:szCs w:val="24"/>
          <w:lang w:val="fr-CA"/>
        </w:rPr>
        <w:lastRenderedPageBreak/>
        <w:t>Le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conseil consultatif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devrait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>aider les autres</w:t>
      </w:r>
      <w:r w:rsidR="00C86D3E" w:rsidRPr="005E15F9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en ce qui a trait à 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6273B9C8" w14:textId="77777777" w:rsidR="00C86D3E" w:rsidRPr="005E15F9" w:rsidRDefault="00E22253" w:rsidP="00BD2FA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Promotion</w:t>
      </w:r>
      <w:r w:rsidR="00C86D3E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fr-CA"/>
        </w:rPr>
        <w:t>spécifiquement liée au champ d’activités du centre auprès d’organismes externes et soutien du centre et de ses principes au sein de l’école/institution</w:t>
      </w:r>
    </w:p>
    <w:p w14:paraId="6273B9C9" w14:textId="77777777" w:rsidR="00C86D3E" w:rsidRPr="005E15F9" w:rsidRDefault="00E22253" w:rsidP="00BD2FA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Plan de recherche de financement</w:t>
      </w:r>
    </w:p>
    <w:p w14:paraId="6273B9CA" w14:textId="77777777" w:rsidR="00C86D3E" w:rsidRPr="005E15F9" w:rsidRDefault="00E22253" w:rsidP="00BD2FA3">
      <w:pPr>
        <w:pStyle w:val="Paragraphedelist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Orientation relativement à la portée des programmes et de la recherche</w:t>
      </w:r>
    </w:p>
    <w:p w14:paraId="6273B9CB" w14:textId="77777777" w:rsidR="00A73089" w:rsidRPr="005E15F9" w:rsidRDefault="00E22253" w:rsidP="00A730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E22253">
        <w:rPr>
          <w:rFonts w:ascii="Times New Roman" w:hAnsi="Times New Roman" w:cs="Times New Roman"/>
          <w:sz w:val="24"/>
          <w:szCs w:val="24"/>
          <w:lang w:val="fr-CA"/>
        </w:rPr>
        <w:t>Les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membres du conseil consultatif</w:t>
      </w:r>
      <w:r w:rsidR="00A73089" w:rsidRPr="005E15F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devraient </w:t>
      </w:r>
      <w:r w:rsidR="001C2A4D" w:rsidRPr="005E15F9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6273B9CC" w14:textId="77777777" w:rsidR="00A73089" w:rsidRPr="005E15F9" w:rsidRDefault="00E22253" w:rsidP="00A73089">
      <w:pPr>
        <w:pStyle w:val="Default"/>
        <w:numPr>
          <w:ilvl w:val="0"/>
          <w:numId w:val="14"/>
        </w:numPr>
        <w:tabs>
          <w:tab w:val="left" w:pos="360"/>
        </w:tabs>
        <w:rPr>
          <w:lang w:val="fr-CA"/>
        </w:rPr>
      </w:pPr>
      <w:r>
        <w:rPr>
          <w:lang w:val="fr-CA"/>
        </w:rPr>
        <w:t>Assister régulièrement aux réunions et y participer</w:t>
      </w:r>
      <w:r w:rsidR="00A73089" w:rsidRPr="005E15F9">
        <w:rPr>
          <w:lang w:val="fr-CA"/>
        </w:rPr>
        <w:t>.</w:t>
      </w:r>
    </w:p>
    <w:p w14:paraId="6273B9CD" w14:textId="77777777" w:rsidR="00A73089" w:rsidRPr="005E15F9" w:rsidRDefault="00E22253" w:rsidP="00A73089">
      <w:pPr>
        <w:pStyle w:val="Default"/>
        <w:numPr>
          <w:ilvl w:val="0"/>
          <w:numId w:val="14"/>
        </w:numPr>
        <w:tabs>
          <w:tab w:val="left" w:pos="360"/>
        </w:tabs>
        <w:rPr>
          <w:lang w:val="fr-CA"/>
        </w:rPr>
      </w:pPr>
      <w:r>
        <w:rPr>
          <w:lang w:val="fr-CA"/>
        </w:rPr>
        <w:t>Examiner annuellement l’état des revenus et des dépenses ainsi que le développement stratégique des affaires</w:t>
      </w:r>
    </w:p>
    <w:p w14:paraId="6273B9CE" w14:textId="77777777" w:rsidR="00BD2FA3" w:rsidRPr="005E15F9" w:rsidRDefault="00BD2FA3" w:rsidP="00BD2FA3">
      <w:pPr>
        <w:pStyle w:val="Paragraphedeliste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6273B9CF" w14:textId="77777777" w:rsidR="00A73089" w:rsidRPr="005E15F9" w:rsidRDefault="00E22253" w:rsidP="00A7308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E22253">
        <w:rPr>
          <w:rFonts w:ascii="Times New Roman" w:hAnsi="Times New Roman" w:cs="Times New Roman"/>
          <w:bCs/>
          <w:sz w:val="24"/>
          <w:szCs w:val="24"/>
          <w:lang w:val="fr-CA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personnel du centre</w:t>
      </w:r>
      <w:r w:rsidR="00A73089" w:rsidRPr="005E15F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devrait être</w:t>
      </w:r>
      <w:r w:rsidR="00A73089" w:rsidRPr="005E15F9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fr-CA"/>
        </w:rPr>
        <w:t>responsable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de </w:t>
      </w:r>
      <w:r w:rsidR="00A73089" w:rsidRPr="005E15F9">
        <w:rPr>
          <w:rFonts w:ascii="Times New Roman" w:hAnsi="Times New Roman" w:cs="Times New Roman"/>
          <w:bCs/>
          <w:sz w:val="24"/>
          <w:szCs w:val="24"/>
          <w:lang w:val="fr-CA"/>
        </w:rPr>
        <w:t>:</w:t>
      </w:r>
    </w:p>
    <w:p w14:paraId="6273B9D0" w14:textId="77777777" w:rsidR="00A73089" w:rsidRPr="005E15F9" w:rsidRDefault="00E22253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Recherche de financement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CA"/>
        </w:rPr>
        <w:t>subventions et/ou autres sources de contributions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6273B9D1" w14:textId="77777777" w:rsidR="00A73089" w:rsidRPr="005E15F9" w:rsidRDefault="00E22253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Planification annuelle des opérations</w:t>
      </w:r>
    </w:p>
    <w:p w14:paraId="6273B9D2" w14:textId="77777777" w:rsidR="00A73089" w:rsidRPr="005E15F9" w:rsidRDefault="00E22253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Gestion organisationnelle et administration des affaires</w:t>
      </w:r>
    </w:p>
    <w:p w14:paraId="6273B9D3" w14:textId="77777777" w:rsidR="00A73089" w:rsidRPr="005E15F9" w:rsidRDefault="00E22253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Mise en œuvre des programmes et des services</w:t>
      </w:r>
    </w:p>
    <w:p w14:paraId="6273B9D4" w14:textId="77777777" w:rsidR="00A73089" w:rsidRPr="005E15F9" w:rsidRDefault="00E22253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Liens avec l’industrie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>, communications (intern</w:t>
      </w:r>
      <w:r>
        <w:rPr>
          <w:rFonts w:ascii="Times New Roman" w:hAnsi="Times New Roman" w:cs="Times New Roman"/>
          <w:sz w:val="24"/>
          <w:szCs w:val="24"/>
          <w:lang w:val="fr-CA"/>
        </w:rPr>
        <w:t>es et externes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fr-CA"/>
        </w:rPr>
        <w:t>et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marketing</w:t>
      </w:r>
    </w:p>
    <w:p w14:paraId="6273B9D5" w14:textId="1CA866AC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Développement des affaires (frais de service 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– </w:t>
      </w:r>
      <w:r w:rsidR="004E643E">
        <w:rPr>
          <w:rFonts w:ascii="Times New Roman" w:hAnsi="Times New Roman" w:cs="Times New Roman"/>
          <w:sz w:val="24"/>
          <w:szCs w:val="24"/>
          <w:lang w:val="fr-CA"/>
        </w:rPr>
        <w:t>revenus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>)</w:t>
      </w:r>
    </w:p>
    <w:p w14:paraId="6273B9D6" w14:textId="77777777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Liaison institutionnelle 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>–</w:t>
      </w:r>
      <w:r w:rsidR="001C2A4D" w:rsidRPr="005E15F9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p. ex. Réseau des </w:t>
      </w:r>
      <w:r w:rsidR="00A73089" w:rsidRPr="005E15F9">
        <w:rPr>
          <w:rFonts w:ascii="Times New Roman" w:hAnsi="Times New Roman" w:cs="Times New Roman"/>
          <w:sz w:val="24"/>
          <w:szCs w:val="24"/>
          <w:lang w:val="fr-CA"/>
        </w:rPr>
        <w:t>TAC</w:t>
      </w:r>
      <w:r w:rsidR="00946010" w:rsidRPr="005E15F9">
        <w:rPr>
          <w:rFonts w:ascii="Times New Roman" w:hAnsi="Times New Roman" w:cs="Times New Roman"/>
          <w:sz w:val="24"/>
          <w:szCs w:val="24"/>
          <w:lang w:val="fr-CA"/>
        </w:rPr>
        <w:t>CAT</w:t>
      </w:r>
    </w:p>
    <w:p w14:paraId="6273B9D7" w14:textId="77777777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Soutien administratif relativement aux fonctions du conseil</w:t>
      </w:r>
    </w:p>
    <w:p w14:paraId="6273B9D8" w14:textId="77777777" w:rsidR="00A73089" w:rsidRPr="005E15F9" w:rsidRDefault="00A73089" w:rsidP="00A7308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273B9D9" w14:textId="77777777" w:rsidR="00A73089" w:rsidRPr="005E15F9" w:rsidRDefault="00F62D3C" w:rsidP="00A730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Le personnel du centre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devrait </w:t>
      </w:r>
      <w:r>
        <w:rPr>
          <w:rFonts w:ascii="Times New Roman" w:hAnsi="Times New Roman" w:cs="Times New Roman"/>
          <w:bCs/>
          <w:i/>
          <w:sz w:val="24"/>
          <w:szCs w:val="24"/>
          <w:lang w:val="fr-CA"/>
        </w:rPr>
        <w:t xml:space="preserve">aider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les autres en ce qui a trait à </w:t>
      </w:r>
      <w:r w:rsidR="00A73089" w:rsidRPr="005E15F9">
        <w:rPr>
          <w:rFonts w:ascii="Times New Roman" w:hAnsi="Times New Roman" w:cs="Times New Roman"/>
          <w:bCs/>
          <w:sz w:val="24"/>
          <w:szCs w:val="24"/>
          <w:lang w:val="fr-CA"/>
        </w:rPr>
        <w:t>:</w:t>
      </w:r>
    </w:p>
    <w:p w14:paraId="6273B9DA" w14:textId="77777777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Promotion</w:t>
      </w:r>
    </w:p>
    <w:p w14:paraId="6273B9DB" w14:textId="77777777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Planification stratégique</w:t>
      </w:r>
    </w:p>
    <w:p w14:paraId="6273B9DC" w14:textId="77777777" w:rsidR="00A73089" w:rsidRPr="005E15F9" w:rsidRDefault="00F62D3C" w:rsidP="00A730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Surveillance organisationnelle et reddition de comptes</w:t>
      </w:r>
    </w:p>
    <w:p w14:paraId="6273B9DD" w14:textId="77777777" w:rsidR="00A73089" w:rsidRPr="005E15F9" w:rsidRDefault="00A73089" w:rsidP="00A7308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273B9DE" w14:textId="77777777" w:rsidR="00B73191" w:rsidRPr="005E15F9" w:rsidRDefault="00B73191" w:rsidP="00B73191">
      <w:pPr>
        <w:pStyle w:val="Default"/>
        <w:tabs>
          <w:tab w:val="left" w:pos="360"/>
        </w:tabs>
        <w:rPr>
          <w:i/>
          <w:sz w:val="22"/>
          <w:szCs w:val="22"/>
          <w:lang w:val="fr-CA"/>
        </w:rPr>
      </w:pPr>
      <w:r w:rsidRPr="005E15F9">
        <w:rPr>
          <w:i/>
          <w:sz w:val="22"/>
          <w:szCs w:val="22"/>
          <w:lang w:val="fr-CA"/>
        </w:rPr>
        <w:t>*</w:t>
      </w:r>
      <w:r w:rsidR="00F62D3C">
        <w:rPr>
          <w:i/>
          <w:sz w:val="22"/>
          <w:szCs w:val="22"/>
          <w:lang w:val="fr-CA"/>
        </w:rPr>
        <w:t>L’approbation finale et la responsabilité reviennent au CRSNG</w:t>
      </w:r>
      <w:r w:rsidRPr="005E15F9">
        <w:rPr>
          <w:i/>
          <w:sz w:val="22"/>
          <w:szCs w:val="22"/>
          <w:lang w:val="fr-CA"/>
        </w:rPr>
        <w:t>.</w:t>
      </w:r>
    </w:p>
    <w:sectPr w:rsidR="00B73191" w:rsidRPr="005E15F9" w:rsidSect="008660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B9E1" w14:textId="77777777" w:rsidR="00C073D4" w:rsidRDefault="00C073D4" w:rsidP="00675917">
      <w:pPr>
        <w:spacing w:after="0" w:line="240" w:lineRule="auto"/>
      </w:pPr>
      <w:r>
        <w:separator/>
      </w:r>
    </w:p>
  </w:endnote>
  <w:endnote w:type="continuationSeparator" w:id="0">
    <w:p w14:paraId="6273B9E2" w14:textId="77777777" w:rsidR="00C073D4" w:rsidRDefault="00C073D4" w:rsidP="0067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B9E8" w14:textId="77777777" w:rsidR="00163DE0" w:rsidRPr="00362F77" w:rsidRDefault="00362F77" w:rsidP="00163DE0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i/>
        <w:lang w:val="fr-CA"/>
      </w:rPr>
    </w:pPr>
    <w:r w:rsidRPr="00362F77">
      <w:rPr>
        <w:rFonts w:ascii="Calibri" w:eastAsia="Calibri" w:hAnsi="Calibri" w:cs="Times New Roman"/>
        <w:i/>
        <w:lang w:val="fr-CA"/>
      </w:rPr>
      <w:t>Cadre de référence</w:t>
    </w:r>
    <w:r w:rsidR="00163DE0" w:rsidRPr="00362F77">
      <w:rPr>
        <w:rFonts w:ascii="Calibri" w:eastAsia="Calibri" w:hAnsi="Calibri" w:cs="Times New Roman"/>
        <w:i/>
        <w:lang w:val="fr-CA"/>
      </w:rPr>
      <w:t xml:space="preserve"> - Version 2.0 - 160526</w:t>
    </w:r>
  </w:p>
  <w:p w14:paraId="6273B9E9" w14:textId="77777777" w:rsidR="00163DE0" w:rsidRPr="00362F77" w:rsidRDefault="00163DE0" w:rsidP="00163DE0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lang w:val="fr-CA"/>
      </w:rPr>
    </w:pPr>
    <w:r w:rsidRPr="00362F77">
      <w:rPr>
        <w:rFonts w:ascii="Calibri" w:eastAsia="Calibri" w:hAnsi="Calibri" w:cs="Times New Roman"/>
        <w:i/>
        <w:lang w:val="fr-CA"/>
      </w:rPr>
      <w:t>Adapt</w:t>
    </w:r>
    <w:r w:rsidR="00362F77" w:rsidRPr="00362F77">
      <w:rPr>
        <w:rFonts w:ascii="Calibri" w:eastAsia="Calibri" w:hAnsi="Calibri" w:cs="Times New Roman"/>
        <w:i/>
        <w:lang w:val="fr-CA"/>
      </w:rPr>
      <w:t>ation à partir d’un document fourni généreusement à Tech-Accè</w:t>
    </w:r>
    <w:r w:rsidRPr="00362F77">
      <w:rPr>
        <w:rFonts w:ascii="Calibri" w:eastAsia="Calibri" w:hAnsi="Calibri" w:cs="Times New Roman"/>
        <w:i/>
        <w:lang w:val="fr-CA"/>
      </w:rPr>
      <w:t xml:space="preserve">s Canada </w:t>
    </w:r>
    <w:r w:rsidR="00362F77" w:rsidRPr="00362F77">
      <w:rPr>
        <w:rFonts w:ascii="Calibri" w:eastAsia="Calibri" w:hAnsi="Calibri" w:cs="Times New Roman"/>
        <w:i/>
        <w:lang w:val="fr-CA"/>
      </w:rPr>
      <w:t>par</w:t>
    </w:r>
    <w:r w:rsidRPr="00362F77">
      <w:rPr>
        <w:rFonts w:ascii="Calibri" w:eastAsia="Calibri" w:hAnsi="Calibri" w:cs="Times New Roman"/>
        <w:i/>
        <w:lang w:val="fr-CA"/>
      </w:rPr>
      <w:t xml:space="preserve"> SAIT </w:t>
    </w:r>
  </w:p>
  <w:p w14:paraId="6273B9EA" w14:textId="77777777" w:rsidR="00163DE0" w:rsidRDefault="00163DE0" w:rsidP="00946010">
    <w:pPr>
      <w:pStyle w:val="Pieddepage"/>
      <w:tabs>
        <w:tab w:val="left" w:pos="7668"/>
        <w:tab w:val="right" w:pos="1008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3B9DF" w14:textId="77777777" w:rsidR="00C073D4" w:rsidRDefault="00C073D4" w:rsidP="00675917">
      <w:pPr>
        <w:spacing w:after="0" w:line="240" w:lineRule="auto"/>
      </w:pPr>
      <w:r>
        <w:separator/>
      </w:r>
    </w:p>
  </w:footnote>
  <w:footnote w:type="continuationSeparator" w:id="0">
    <w:p w14:paraId="6273B9E0" w14:textId="77777777" w:rsidR="00C073D4" w:rsidRDefault="00C073D4" w:rsidP="0067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B9E3" w14:textId="77777777" w:rsidR="005475DE" w:rsidRPr="005475DE" w:rsidRDefault="005475DE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5475DE">
      <w:rPr>
        <w:rFonts w:ascii="Times New Roman" w:eastAsia="Calibri" w:hAnsi="Times New Roman" w:cs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61312" behindDoc="0" locked="0" layoutInCell="1" allowOverlap="1" wp14:anchorId="6273B9EB" wp14:editId="6273B9EC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  <w:r w:rsidRPr="005475DE">
      <w:rPr>
        <w:rFonts w:ascii="Times New Roman" w:eastAsia="Calibri" w:hAnsi="Times New Roman" w:cs="Times New Roman"/>
        <w:sz w:val="20"/>
        <w:szCs w:val="20"/>
      </w:rPr>
      <w:tab/>
    </w:r>
  </w:p>
  <w:p w14:paraId="6273B9E4" w14:textId="77777777" w:rsidR="005475DE" w:rsidRPr="002504E4" w:rsidRDefault="002504E4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>Adresse postale</w:t>
    </w:r>
  </w:p>
  <w:p w14:paraId="6273B9E5" w14:textId="77777777" w:rsidR="005475DE" w:rsidRPr="002504E4" w:rsidRDefault="002504E4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>Ville</w:t>
    </w:r>
    <w:r w:rsidR="005475DE"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 xml:space="preserve">, Province, </w:t>
    </w:r>
    <w:r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>Code postal</w:t>
    </w:r>
  </w:p>
  <w:p w14:paraId="6273B9E6" w14:textId="77777777" w:rsidR="005475DE" w:rsidRPr="002504E4" w:rsidRDefault="002504E4" w:rsidP="005475DE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fr-CA"/>
      </w:rPr>
    </w:pPr>
    <w:r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>N</w:t>
    </w:r>
    <w:r w:rsidRPr="002504E4">
      <w:rPr>
        <w:rFonts w:ascii="Times New Roman" w:eastAsia="Calibri" w:hAnsi="Times New Roman" w:cs="Times New Roman"/>
        <w:smallCaps/>
        <w:sz w:val="20"/>
        <w:szCs w:val="20"/>
        <w:vertAlign w:val="superscript"/>
        <w:lang w:val="fr-CA"/>
      </w:rPr>
      <w:t>o</w:t>
    </w:r>
    <w:r w:rsidRPr="002504E4">
      <w:rPr>
        <w:rFonts w:ascii="Times New Roman" w:eastAsia="Calibri" w:hAnsi="Times New Roman" w:cs="Times New Roman"/>
        <w:smallCaps/>
        <w:sz w:val="20"/>
        <w:szCs w:val="20"/>
        <w:lang w:val="fr-CA"/>
      </w:rPr>
      <w:t xml:space="preserve"> de tél. et adresse électronique</w:t>
    </w:r>
  </w:p>
  <w:p w14:paraId="6273B9E7" w14:textId="77777777" w:rsidR="00675917" w:rsidRPr="00675917" w:rsidRDefault="00675917" w:rsidP="008660EE">
    <w:pPr>
      <w:pStyle w:val="En-tt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4C2"/>
    <w:multiLevelType w:val="hybridMultilevel"/>
    <w:tmpl w:val="7FC4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F58"/>
    <w:multiLevelType w:val="hybridMultilevel"/>
    <w:tmpl w:val="CA2EF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4674"/>
    <w:multiLevelType w:val="hybridMultilevel"/>
    <w:tmpl w:val="3C74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34945"/>
    <w:multiLevelType w:val="hybridMultilevel"/>
    <w:tmpl w:val="C30E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5FA6"/>
    <w:multiLevelType w:val="hybridMultilevel"/>
    <w:tmpl w:val="5ABC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57F"/>
    <w:multiLevelType w:val="hybridMultilevel"/>
    <w:tmpl w:val="9F54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003D"/>
    <w:multiLevelType w:val="hybridMultilevel"/>
    <w:tmpl w:val="BC26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C17"/>
    <w:multiLevelType w:val="hybridMultilevel"/>
    <w:tmpl w:val="BF94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37A92"/>
    <w:multiLevelType w:val="hybridMultilevel"/>
    <w:tmpl w:val="FB8C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C2578"/>
    <w:multiLevelType w:val="hybridMultilevel"/>
    <w:tmpl w:val="E4D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F1D"/>
    <w:multiLevelType w:val="hybridMultilevel"/>
    <w:tmpl w:val="FF6C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0CD"/>
    <w:multiLevelType w:val="hybridMultilevel"/>
    <w:tmpl w:val="FB8C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819B4"/>
    <w:multiLevelType w:val="hybridMultilevel"/>
    <w:tmpl w:val="A34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95116"/>
    <w:multiLevelType w:val="hybridMultilevel"/>
    <w:tmpl w:val="892A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17"/>
    <w:rsid w:val="0002492E"/>
    <w:rsid w:val="00061DD8"/>
    <w:rsid w:val="00064344"/>
    <w:rsid w:val="00073E34"/>
    <w:rsid w:val="000E6623"/>
    <w:rsid w:val="00151B0D"/>
    <w:rsid w:val="00163DE0"/>
    <w:rsid w:val="001B40C6"/>
    <w:rsid w:val="001C2A4D"/>
    <w:rsid w:val="002504E4"/>
    <w:rsid w:val="00255FDB"/>
    <w:rsid w:val="00362F77"/>
    <w:rsid w:val="00376406"/>
    <w:rsid w:val="004252E5"/>
    <w:rsid w:val="004541D5"/>
    <w:rsid w:val="00484627"/>
    <w:rsid w:val="004A484A"/>
    <w:rsid w:val="004E643E"/>
    <w:rsid w:val="00511094"/>
    <w:rsid w:val="0054026F"/>
    <w:rsid w:val="005475DE"/>
    <w:rsid w:val="00562D0B"/>
    <w:rsid w:val="005E15F9"/>
    <w:rsid w:val="00675917"/>
    <w:rsid w:val="00680ECB"/>
    <w:rsid w:val="00731276"/>
    <w:rsid w:val="00792000"/>
    <w:rsid w:val="007B680F"/>
    <w:rsid w:val="00803A54"/>
    <w:rsid w:val="00822DDF"/>
    <w:rsid w:val="00826193"/>
    <w:rsid w:val="00852643"/>
    <w:rsid w:val="008660EE"/>
    <w:rsid w:val="008715EC"/>
    <w:rsid w:val="00877D44"/>
    <w:rsid w:val="009245A2"/>
    <w:rsid w:val="00946010"/>
    <w:rsid w:val="0097012F"/>
    <w:rsid w:val="009C5340"/>
    <w:rsid w:val="009D780B"/>
    <w:rsid w:val="00A73089"/>
    <w:rsid w:val="00AD04AD"/>
    <w:rsid w:val="00AE74A1"/>
    <w:rsid w:val="00AF093B"/>
    <w:rsid w:val="00AF3042"/>
    <w:rsid w:val="00B41560"/>
    <w:rsid w:val="00B45450"/>
    <w:rsid w:val="00B73191"/>
    <w:rsid w:val="00BD232B"/>
    <w:rsid w:val="00BD2FA3"/>
    <w:rsid w:val="00C073D4"/>
    <w:rsid w:val="00C273B8"/>
    <w:rsid w:val="00C564C5"/>
    <w:rsid w:val="00C86D3E"/>
    <w:rsid w:val="00CB091D"/>
    <w:rsid w:val="00D87CBB"/>
    <w:rsid w:val="00DF69A3"/>
    <w:rsid w:val="00E22253"/>
    <w:rsid w:val="00F34CC5"/>
    <w:rsid w:val="00F62D3C"/>
    <w:rsid w:val="00F70079"/>
    <w:rsid w:val="00F917A1"/>
    <w:rsid w:val="00FA18D1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3B997"/>
  <w15:docId w15:val="{89D754B3-5FA9-48C2-932E-75EE950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917"/>
  </w:style>
  <w:style w:type="paragraph" w:styleId="Pieddepage">
    <w:name w:val="footer"/>
    <w:basedOn w:val="Normal"/>
    <w:link w:val="PieddepageCar"/>
    <w:uiPriority w:val="99"/>
    <w:unhideWhenUsed/>
    <w:rsid w:val="0067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917"/>
  </w:style>
  <w:style w:type="paragraph" w:styleId="Textedebulles">
    <w:name w:val="Balloon Text"/>
    <w:basedOn w:val="Normal"/>
    <w:link w:val="TextedebullesCar"/>
    <w:uiPriority w:val="99"/>
    <w:semiHidden/>
    <w:unhideWhenUsed/>
    <w:rsid w:val="006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91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92000"/>
    <w:pPr>
      <w:spacing w:after="0" w:line="240" w:lineRule="auto"/>
    </w:pPr>
  </w:style>
  <w:style w:type="paragraph" w:customStyle="1" w:styleId="Default">
    <w:name w:val="Default"/>
    <w:rsid w:val="00B4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4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alain larabie</cp:lastModifiedBy>
  <cp:revision>5</cp:revision>
  <cp:lastPrinted>2014-11-24T18:25:00Z</cp:lastPrinted>
  <dcterms:created xsi:type="dcterms:W3CDTF">2016-07-14T12:20:00Z</dcterms:created>
  <dcterms:modified xsi:type="dcterms:W3CDTF">2016-07-17T02:51:00Z</dcterms:modified>
</cp:coreProperties>
</file>